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/>
        <w:ind w:end="-8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KẾ HOẠCH DẠY HỌC</w:t>
      </w:r>
    </w:p>
    <w:p>
      <w:pPr>
        <w:pStyle w:val="Normal"/>
        <w:spacing w:lineRule="auto" w:line="312"/>
        <w:ind w:end="-81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MÔN: GIÁO DỤC CÔNG DÂN, LỚP: 6</w:t>
      </w:r>
    </w:p>
    <w:p>
      <w:pPr>
        <w:pStyle w:val="Normal"/>
        <w:spacing w:lineRule="auto" w:line="31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I. Đặc điểm tình hình</w:t>
      </w:r>
    </w:p>
    <w:p>
      <w:pPr>
        <w:pStyle w:val="Normal"/>
        <w:spacing w:lineRule="auto" w:line="312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1. Số lớp: </w:t>
      </w:r>
      <w:r>
        <w:rPr>
          <w:rFonts w:eastAsia="Times New Roman" w:cs="Times New Roman" w:ascii="Times New Roman" w:hAnsi="Times New Roman"/>
          <w:sz w:val="28"/>
          <w:szCs w:val="28"/>
        </w:rPr>
        <w:t>….. 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; Số học sinh: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……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; Số học sinh học chuyên đề lựa chọn </w:t>
      </w:r>
      <w:r>
        <w:rPr>
          <w:rFonts w:eastAsia="Times New Roman" w:cs="Times New Roman" w:ascii="Times New Roman" w:hAnsi="Times New Roman"/>
          <w:sz w:val="28"/>
          <w:szCs w:val="28"/>
        </w:rPr>
        <w:t>(nếu có)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:……………</w:t>
      </w:r>
    </w:p>
    <w:p>
      <w:pPr>
        <w:pStyle w:val="Normal"/>
        <w:spacing w:lineRule="auto" w:line="312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2. Tình hình đội ngũ: Số giáo viên: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… ;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Trình độ đào tạo</w:t>
      </w:r>
      <w:r>
        <w:rPr>
          <w:rFonts w:eastAsia="Times New Roman" w:cs="Times New Roman" w:ascii="Times New Roman" w:hAnsi="Times New Roman"/>
          <w:sz w:val="28"/>
          <w:szCs w:val="28"/>
        </w:rPr>
        <w:t>: Cao đẳng: ....0.... Đại học: 01.; Trên đại học:........0.....</w:t>
      </w:r>
    </w:p>
    <w:p>
      <w:pPr>
        <w:pStyle w:val="Normal"/>
        <w:spacing w:lineRule="auto" w:line="312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Mức đạt chuẩn nghề nghiệp: </w:t>
      </w:r>
      <w:r>
        <w:rPr>
          <w:rFonts w:eastAsia="Times New Roman" w:cs="Times New Roman" w:ascii="Times New Roman" w:hAnsi="Times New Roman"/>
          <w:sz w:val="28"/>
          <w:szCs w:val="28"/>
        </w:rPr>
        <w:t>Tốt:.................; Khá:..0..............; Đạt:.0..............; Chưa đạt:...0......................</w:t>
      </w:r>
    </w:p>
    <w:p>
      <w:pPr>
        <w:pStyle w:val="Normal"/>
        <w:tabs>
          <w:tab w:val="clear" w:pos="720"/>
          <w:tab w:val="left" w:pos="1080" w:leader="none"/>
        </w:tabs>
        <w:spacing w:lineRule="auto" w:line="31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3.Thiết bị dạy học: </w:t>
      </w:r>
    </w:p>
    <w:tbl>
      <w:tblPr>
        <w:tblW w:w="13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4"/>
        <w:gridCol w:w="2194"/>
        <w:gridCol w:w="1681"/>
        <w:gridCol w:w="2379"/>
        <w:gridCol w:w="6300"/>
      </w:tblGrid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Thiết bị dạy học/ Dụng cụ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ind w:end="3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Số lượng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(Bộ)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Các bài thí nghiệm/thực hành</w:t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Ghi chú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Tranh thể hiện truyền thống của gia đình, dòng họ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1:  Tự hào về truyền thống gia đình ,dòng họ</w:t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Tranh thể hiện sự yêu thương, quan tâm, giúp đỡ lẫn nhau trong cuộc sống, học tập và sinh hoạt.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2: Yêu thương con người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về những việc làm thể hiện sự chăm chỉ siêng năng, kiên trì trong học tập, sinh hoạt hàng ngày.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3: Siêng năng kiên trì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-Video/clip về tình huống trung thực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Bài 4: Tôn trọng sự thật 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-Video/clip về tình huống tự lập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Bài 5: Tự lập 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Video tình huống về việc tự giác làm việc nhà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dụng cụ thực hành tự nhận thức bản thân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6: Tự nhận thức bản thân.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hướng dẫn các bước phòng tránh và ứng phó với tình huống nguy hiểm.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dụng cụ cho học sinh thực hành ứng phó với các tình huống nguy hiểm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7: Ứng phó với tình huống nguy hiểm.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Video/clip tình huống về tiết kiệm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thể hiện những hành vi tiết kiệm điện, nước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dụng cụ, thực hành tiết kiệm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8: Tiết kiệm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thể hiện mô phỏng mối quan hệ giữa nhà nước và công dân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Video hướng dẫn về quy trình khai sinh cho trẻ em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9: Công dân nước cộng hòa XHCN Việt Nam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tính/Tivi</w:t>
            </w:r>
          </w:p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Giấy A0/ bút lông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Bộ tranh về các nhóm quyền của trẻ em</w:t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11: Quyền cơ bản của trẻ em.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Máy tính cá nhân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</w:tabs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20"/>
          <w:tab w:val="left" w:pos="1106" w:leader="none"/>
        </w:tabs>
        <w:spacing w:lineRule="auto" w:line="312"/>
        <w:ind w:end="618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4. Phòng học bộ môn/phòng thí nghiệm/phòng đa năng/sân chơi, bài tập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:</w:t>
      </w:r>
    </w:p>
    <w:tbl>
      <w:tblPr>
        <w:tblW w:w="132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32"/>
        <w:gridCol w:w="2556"/>
        <w:gridCol w:w="3080"/>
        <w:gridCol w:w="3500"/>
        <w:gridCol w:w="2802"/>
      </w:tblGrid>
      <w:tr>
        <w:trPr/>
        <w:tc>
          <w:tcPr>
            <w:tcW w:w="13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Tên phòng</w:t>
            </w:r>
          </w:p>
        </w:tc>
        <w:tc>
          <w:tcPr>
            <w:tcW w:w="3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Số lượng </w:t>
            </w:r>
          </w:p>
        </w:tc>
        <w:tc>
          <w:tcPr>
            <w:tcW w:w="3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jc w:val="center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Phạm vi và nội dung sử dụng</w:t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Ghi chú</w:t>
            </w:r>
          </w:p>
        </w:tc>
      </w:tr>
      <w:tr>
        <w:trPr>
          <w:trHeight w:val="300" w:hRule="atLeast"/>
        </w:trPr>
        <w:tc>
          <w:tcPr>
            <w:tcW w:w="13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Sân thể dục</w:t>
            </w:r>
          </w:p>
        </w:tc>
        <w:tc>
          <w:tcPr>
            <w:tcW w:w="3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01   </w:t>
            </w:r>
          </w:p>
        </w:tc>
        <w:tc>
          <w:tcPr>
            <w:tcW w:w="35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7: Ứng phó với tình huống nguy hiểm.</w:t>
            </w:r>
          </w:p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Học sinh biết thực hiện một số bước đơn giản và phù hợp để phòng, tránh và ứng phó với các tình huống nguy hiểm.</w:t>
            </w:r>
          </w:p>
        </w:tc>
      </w:tr>
      <w:tr>
        <w:trPr>
          <w:trHeight w:val="540" w:hRule="atLeast"/>
        </w:trPr>
        <w:tc>
          <w:tcPr>
            <w:tcW w:w="13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napToGrid w:val="false"/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25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-Lớp học </w:t>
            </w:r>
          </w:p>
        </w:tc>
        <w:tc>
          <w:tcPr>
            <w:tcW w:w="3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pacing w:lineRule="auto" w:line="312"/>
              <w:ind w:end="618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3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12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06" w:leader="none"/>
              </w:tabs>
              <w:snapToGrid w:val="false"/>
              <w:spacing w:lineRule="auto" w:line="312"/>
              <w:ind w:end="618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440" w:right="1440" w:gutter="0" w:header="450" w:top="744" w:footer="0" w:bottom="9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12"/>
        <w:rPr/>
      </w:pPr>
      <w:bookmarkStart w:id="0" w:name="page2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II. Kế hoạch dạy học</w:t>
      </w:r>
    </w:p>
    <w:p>
      <w:pPr>
        <w:pStyle w:val="Normal"/>
        <w:spacing w:lineRule="auto" w:line="312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</w:t>
      </w:r>
      <w:r>
        <w:rPr/>
        <w:t>1. Phân phối chương trình</w:t>
      </w:r>
    </w:p>
    <w:tbl>
      <w:tblPr>
        <w:tblW w:w="127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9"/>
        <w:gridCol w:w="2558"/>
        <w:gridCol w:w="992"/>
        <w:gridCol w:w="8341"/>
      </w:tblGrid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 w:before="12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 w:before="120" w:after="12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Bài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học/Chủ đề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Yêu cầu cần đạt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Bài 1: TỰ HÀO VỀ TRUYỀN THỐNG GIA ĐÌNH, DÒNG HỌ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  HS nêu được một số truyền thống của gia đình, dòng họ.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Giải thích được một cách đơn giản ý nghĩa của truyền thống gia đình, dòng họ.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Biết giữ gìn, phát huy truyền thống gia đình, dòng họ bằng những việc làm cụ thể phù hợp.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 và tự học, giao tiếp và hợp tác.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thân.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Yêu nước, trách nhiệm, cần cù, nhân ái.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spacing w:lineRule="auto" w:line="312"/>
              <w:jc w:val="center"/>
              <w:rPr>
                <w:bCs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pt-BR"/>
              </w:rPr>
              <w:t>BÀI 2: YÊU THƯƠNG CON NGƯỜI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  HS nêu được khái niệm và biểu hiện của tình yêu thương con người.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Trình bày được giá trị của tình yêu thương con người.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Thực hiện được những việc làm thể hiện tình yêu thương con người.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Đánh giá được thái độ, hành vi thể hiện tình yêu thương con người.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Phê phán những biểu hiện trái với tình yêu thương con người.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thân, tìm hiểu, tham gia các hoạt động kinh tế – xã hội.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Yêu nước, trách nhiệm, cần cù, nhân ái.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pt-BR"/>
              </w:rPr>
              <w:t>BÀI 3: SIÊNG NĂNG, KIÊN TRÌ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  HS nêu được khái niệm và biểu hiện của siêng năng, kiên trì.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Nhận biết được ý nghĩa của siêng năng, kiên trì.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Thực hiện được những việc làm thể hiện siêng năng, kiên trì trong học tập, lao động.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Đánh giá được sự siêng năng, kiên trì của bản thân và người khác trong học tập, lao động.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Quý trọng những người siêng năng, kiên trì; góp ý cho những bạn có biểu hiện lười biếng, nản lòng để khắc phục hạn chế này.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chủ, tự học,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trung thực, trách nhiệm, cần cù.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ÔN TẬP GIỮA HỌC KỲ I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Củng cố các kiến thức đã học từ bài 1 đến bài 3.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lựng chung: Tự học, sáng tạo, giải quyết vấn đề.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riêng: Tự nhận thức, tự điều chỉnh hành vi phù hợp với chuẩn mực đạo đức xã hội.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  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Tự chủ, tự tin, trung thực.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it-IT"/>
              </w:rPr>
              <w:t>KIỂM TRA GIỮA HỌC KỲ I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1. Ki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ến thức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 xml:space="preserve">: 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Tự hào về truyền thống gia đình, dòng họ.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Yêu thương con người.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Siêng năng, kiên trì.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de-DE"/>
              </w:rPr>
              <w:t>2. K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ỹ năng:</w:t>
              <w:tab/>
            </w:r>
          </w:p>
          <w:p>
            <w:pPr>
              <w:pStyle w:val="Normal"/>
              <w:autoSpaceDE w:val="false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Bi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 xml:space="preserve">ết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vận dụng các kiến thức đã học vào trong cuộc sống để xử lý những tình huống cụ thể, gần gũi với sinh hoạt, học tâp của các em.</w:t>
            </w:r>
          </w:p>
          <w:p>
            <w:pPr>
              <w:pStyle w:val="Normal"/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de-DE"/>
              </w:rPr>
              <w:t>3. Thái đ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ộ: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de-D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>Nghi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êm túc trong gi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>ờ kiểm tra.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4: TÔN TRỌNG SỰ THẬT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  HS biết sự thật là gì và biểu hiện của tôn trọng sự thật.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Hiểu vì sao phải tôn trọng sự thật.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Luôn nói thật với người thân, thầy cô, bạn bè và người có trách nhiệm.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Không đồng tình với việc nói dối hoặc che giấu sự thật.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chủ, tự học,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trung thực, trách nhiệm.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5: TỰ LẬP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khái niệm tự lập.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Liệt kê được các biểu hiện của người có tính tự lập.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Hiểu vì sao phải tự lập.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Đánh giá được khả năng tự lập của bản thân và người khác.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Tự thực hiện nhiệm vụ của bản thân trong học tập, sinh hoạt hằng ngày, hoạt động tập thể ở nhà trường và trong sinh hoạt cộng đồng; không dựa dẫm, ỷ lại, phụ thuộc vào người khác.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chủ, tự học,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trung thực, trách nhiệm, yêu nước, nhân ái.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6: TỰ NHẬN THỨC BẢN THÂN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thế nào là tự nhận thức bản thân; biết được ý nghĩa của tự nhận thức bản thân.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Tự nhận thức được điểm mạnh, điểm yếu, giá trị, vị trí, tình cảm, các mối quan hệ bản thân.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Biết tôn trọng bản thân; xây dựng được kế hoạch phát huy điểm mạnh và khắc phục điểm yếu của bản thân.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chủ, tự học,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trung thực, trách nhiệm, cần cù, nhân ái.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KIỂM TRA HỌC  KỲ I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lineRule="auto" w:line="312"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 Kiến thức: 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Tôn trọng sự thật.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Tự lập.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Tự nhận thức bản thân.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Kỹ năng:</w:t>
              <w:tab/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Biết vận dụng các kiến thức đã học vào trong cuộc sống để xử lý những tình huống cụ thể, gần gũi với sinh hoạt, học tâp của các em.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3. Thái độ: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Nghiêm túc trong giờ kiểm tra.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TRẢ BÀI KIỂM TRA HỌC KỲ I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Củng cố các kiến thức đã học từ bài 4 đến bài 6.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lựng chung: Tự học, sáng tạo, giải quyết vấn đề.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riêng: Tự nhận thức, tự điều chỉnh hành vi phù hợp với chuẩn mực đạo đức xã hội.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 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Tự chủ, tự tin, trung thực.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</w:p>
          <w:p>
            <w:pPr>
              <w:pStyle w:val="NormalWeb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pt-BR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7: ỨNG PHÓ VỚI TÌNH HUỐNG NGUY HIỂM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Nhận biết được các tình huống nguy hiểm và hậu quả của các tình huống nguy hiểm đối với trẻ em.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cách ứng phó với một số tình huống nguy hiểm.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Thực hành được cách ứng phó trước một số tình huống nguy hiểm để đảm bảo an toàn.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trung thực, trách nhiệm, nhân ái.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8: TIẾT KIỆM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khái niệm tiết kiệm và những biểu hiện của tiết kiệm.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Giải thích được vì sao phải tiết kiệm.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Nhận xét, đánh giá được việc thực hiện tiết kiệm của bản thân và người xung quanh.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Phê phán những biểu hiện của lãng phí trong cuộc sống và trong học tập.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Thực hành tiết kiệm trong cuộc sống và trong học tập.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chủ, tự học,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trung thực, trách nhiệm.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9: CÔNG DÂN NƯỚC CỘNG HÒA XHCN VIỆT NAM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khái niệm công dân.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căn cứ xác định công dân nước CHXHCNVN.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chung: tự chủ, tự học, giải quyết vấn đề, giao tiếp và hợp tác.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yêu nước, cần cù, trách nhiệm.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pacing w:lineRule="auto" w:line="31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it-IT"/>
              </w:rPr>
              <w:t>KIỂM TRA GIỮA HỌC KỲ II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it-IT"/>
              </w:rPr>
            </w:r>
          </w:p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1. Ki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ến thức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 xml:space="preserve">: 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Ứng phó với các tình huống nguy hiểm.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Tiết kiệm.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- Công dân nước CHXHCNVN.</w:t>
            </w:r>
          </w:p>
          <w:p>
            <w:pPr>
              <w:pStyle w:val="Normal"/>
              <w:tabs>
                <w:tab w:val="clear" w:pos="720"/>
                <w:tab w:val="left" w:pos="1800" w:leader="none"/>
              </w:tabs>
              <w:autoSpaceDE w:val="false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de-DE"/>
              </w:rPr>
              <w:t>2. K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ỹ năng:</w:t>
              <w:tab/>
            </w:r>
          </w:p>
          <w:p>
            <w:pPr>
              <w:pStyle w:val="Normal"/>
              <w:autoSpaceDE w:val="false"/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Bi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 xml:space="preserve">ết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vận dụng các kiến thức đã học vào trong cuộc sống để xử lý những tình huống cụ thể, gần gũi với sinh hoạt, học tâp của các em.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de-DE"/>
              </w:rPr>
              <w:t>3. Thái đ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ộ: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val="de-D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>Nghi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>êm túc trong gi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vi-VN"/>
              </w:rPr>
              <w:t>ờ kiểm tra.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val="pt-BR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TRẢ BÀI KIỂM TRA GIỮA HỌC KỲ II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Củng cố các kiến thức đã học từ bài 7 đến bài 9.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lựng chung: Tự học, sáng tạo, giải quyết vấn đề.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riêng: Tự nhận thức, tự điều chỉnh hành vi phù hợp với chuẩn mực đạo đức xã hội.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  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"/>
              <w:autoSpaceDE w:val="false"/>
              <w:spacing w:lineRule="auto" w:line="312"/>
              <w:jc w:val="both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Phẩm chất: Tự chủ, tự tin, trung thực.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10: QUYỀN VÀ NGHĨA VỤ CƠ BẢN CỦA CÔNG DÂN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ind w:start="33" w:end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1.Kiến thức, kĩ năng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Nêu được quy định của Hiến Pháp nước CHXHCNVN về quyền và nghĩa vụ của công dân.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Thực hiện quyền và nghĩa vụ của công dân phù hợp với lứa tuổi.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de-DE"/>
              </w:rPr>
              <w:t xml:space="preserve">2. Năng lực: 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Năng lực chung: giải quyết vấn đề, giao tiếp và hợp tác.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de-DE"/>
              </w:rPr>
              <w:t>3. Phẩm chất: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 xml:space="preserve">  trung thực, trách nhiệm.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11: QUYỀN CƠ BẢN CỦA TRẺ EM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ind w:start="33" w:end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1.Kiến thức, kĩ năng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Nêu được các quyền cơ bản của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Nêu được ý nghĩa quyền trẻ em và thực hiện quyền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de-DE"/>
              </w:rPr>
              <w:t xml:space="preserve">2. Năng lực: 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Năng lực chung: giải quyết vấn đề, giao tiếp và hợp tác.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val="de-DE"/>
              </w:rPr>
              <w:t>3. Phẩm chất:</w:t>
            </w:r>
            <w:r>
              <w:rPr>
                <w:rFonts w:eastAsia="Times New Roman"/>
                <w:sz w:val="28"/>
                <w:szCs w:val="28"/>
                <w:lang w:val="de-DE"/>
              </w:rPr>
              <w:t xml:space="preserve"> nhân ái, cần cù, trung thực, trách nhiệm.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12: THỰC HIỆN QUYỀN TRẺ EM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12"/>
              <w:ind w:start="33" w:end="0"/>
              <w:jc w:val="both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1.Kiến thức, kĩ năng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Nêu được trách nhiệm của gia đình, nhà trường và xã hội trong thực hiện quyền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Phân biệt được hành vi thực hiện và hành vi vi phạm quyền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Thực hiện tốt quyền và bổn phận của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Nhận xét, đánh giá được việc thực hiện quyền trẻ em của gia đình, nhà trường và xã hội; bày tỏ được nhu cầu thực hiện tốt quyền trẻ em.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de-DE"/>
              </w:rPr>
              <w:t xml:space="preserve">2. Năng lực: 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Năng lực chung: giải quyết vấn đề, giao tiếp và hợp tác.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- Năng lực đặc thù: điều chỉnh hành vi, phát triển bản thân, tích cực tham gia các hoạt động kinh tế - xã hội.</w:t>
            </w:r>
          </w:p>
          <w:p>
            <w:pPr>
              <w:pStyle w:val="Normal"/>
              <w:spacing w:lineRule="auto" w:line="312"/>
              <w:ind w:start="33" w:end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de-DE"/>
              </w:rPr>
              <w:t>3. Phẩm chất: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/>
              </w:rPr>
              <w:t xml:space="preserve"> nhân ái, cần cù, trung thực, trách nhiệm.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KIỂM TRA HỌC KỲ II</w:t>
            </w:r>
          </w:p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pacing w:lineRule="auto" w:line="312"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 Kiến thức: 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Quyền và nghĩa vụ cơ bản của công dân.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Quyền cơ bản của trẻ em.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Thực hiện quyền trẻ em.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 Kỹ năng:</w:t>
              <w:tab/>
            </w:r>
          </w:p>
          <w:p>
            <w:pPr>
              <w:pStyle w:val="NormalWeb"/>
              <w:spacing w:lineRule="auto" w:line="312" w:before="0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Biết vận dụng các kiến thức đã học vào trong cuộc sống để xử lý những tình huống cụ thể, gần gũi với sinh hoạt, học tâp của các em.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3. Thái độ: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Nghiêm túc trong giờ kiểm tra.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lineRule="auto" w:line="312"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TRẢ BÀI KIỂM TRA HỌC KỲ II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eastAsia="Cambria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mbria" w:cs="Times New Roman"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1. Kiến thức: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Biết được những kiến thức đã học về chuẩn mực đạo đức.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Hiểu được ý nghĩa của các chuẩn mực đạo đức đối với sự phát triển của cá nhân và xã hội.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Củng cố các kiến thức đã học từ bài 10 đến bài 12.</w:t>
              <w:tab/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>2. Năng lực: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lựng chung: Tự học, sáng tạo, giải quyết vấn đề.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Năng lực riêng: Tự nhận thức, tự điều chỉnh hành vi phù hợp với chuẩn mực đạo đức xã hội.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   </w:t>
              <w:tab/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spacing w:lineRule="auto" w:line="3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pt-BR"/>
              </w:rPr>
              <w:t xml:space="preserve">3. Phẩm chất: </w:t>
            </w:r>
          </w:p>
          <w:p>
            <w:pPr>
              <w:pStyle w:val="NormalWeb"/>
              <w:spacing w:lineRule="auto" w:line="312" w:before="0" w:after="0"/>
              <w:jc w:val="both"/>
              <w:rPr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pt-BR"/>
              </w:rPr>
              <w:t>- Phẩm chất: Tự chủ, tự tin, trung thực.</w:t>
            </w:r>
          </w:p>
        </w:tc>
      </w:tr>
    </w:tbl>
    <w:p>
      <w:pPr>
        <w:pStyle w:val="Normal"/>
        <w:tabs>
          <w:tab w:val="clear" w:pos="720"/>
          <w:tab w:val="left" w:pos="1260" w:leader="none"/>
        </w:tabs>
        <w:spacing w:lineRule="auto" w:line="312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>III.</w:t>
      </w:r>
      <w:r>
        <w:rPr>
          <w:rFonts w:eastAsia="Times New Roman" w:cs="Times New Roman" w:ascii="Times New Roman" w:hAnsi="Times New Roman"/>
          <w:sz w:val="28"/>
          <w:szCs w:val="28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>Các nội dung khác:</w:t>
      </w:r>
    </w:p>
    <w:p>
      <w:pPr>
        <w:pStyle w:val="Normal"/>
        <w:tabs>
          <w:tab w:val="clear" w:pos="720"/>
          <w:tab w:val="left" w:pos="1260" w:leader="none"/>
        </w:tabs>
        <w:spacing w:lineRule="auto" w:line="312"/>
        <w:rPr>
          <w:rFonts w:ascii="Times New Roman" w:hAnsi="Times New Roman" w:eastAsia="Times New Roman" w:cs="Times New Roman"/>
          <w:b/>
          <w:color w:val="FF0000"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pt-BR"/>
        </w:rPr>
      </w:r>
    </w:p>
    <w:p>
      <w:pPr>
        <w:pStyle w:val="Normal"/>
        <w:spacing w:lineRule="auto" w:line="312"/>
        <w:ind w:start="567" w:end="0"/>
        <w:jc w:val="both"/>
        <w:rPr>
          <w:rFonts w:ascii="Times New Roman" w:hAnsi="Times New Roman" w:eastAsia="Times New Roman" w:cs="Times New Roman"/>
          <w:b/>
          <w:color w:val="FF0000"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val="pt-BR"/>
        </w:rPr>
      </w:r>
    </w:p>
    <w:tbl>
      <w:tblPr>
        <w:tblW w:w="13607" w:type="dxa"/>
        <w:jc w:val="start"/>
        <w:tblInd w:w="56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90"/>
        <w:gridCol w:w="4011"/>
        <w:gridCol w:w="5106"/>
      </w:tblGrid>
      <w:tr>
        <w:trPr/>
        <w:tc>
          <w:tcPr>
            <w:tcW w:w="4490" w:type="dxa"/>
            <w:tcBorders/>
          </w:tcPr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r>
          </w:p>
        </w:tc>
        <w:tc>
          <w:tcPr>
            <w:tcW w:w="4011" w:type="dxa"/>
            <w:tcBorders/>
          </w:tcPr>
          <w:p>
            <w:pPr>
              <w:pStyle w:val="Normal"/>
              <w:snapToGrid w:val="false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r>
          </w:p>
        </w:tc>
        <w:tc>
          <w:tcPr>
            <w:tcW w:w="5106" w:type="dxa"/>
            <w:tcBorders/>
          </w:tcPr>
          <w:p>
            <w:pPr>
              <w:pStyle w:val="Normal"/>
              <w:spacing w:lineRule="auto" w:line="312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vi-VN"/>
              </w:rPr>
              <w:t xml:space="preserve">ngày  </w:t>
            </w: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….</w:t>
            </w:r>
            <w:r>
              <w:rPr>
                <w:rFonts w:cs="Times New Roman" w:ascii="Times New Roman" w:hAnsi="Times New Roman"/>
                <w:i/>
                <w:sz w:val="28"/>
                <w:szCs w:val="28"/>
                <w:lang w:val="vi-VN"/>
              </w:rPr>
              <w:t xml:space="preserve"> tháng 8   năm2021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vi-VN"/>
              </w:rPr>
            </w:r>
          </w:p>
          <w:p>
            <w:pPr>
              <w:pStyle w:val="Normal"/>
              <w:spacing w:lineRule="auto" w:line="3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r>
          </w:p>
        </w:tc>
      </w:tr>
    </w:tbl>
    <w:p>
      <w:pPr>
        <w:pStyle w:val="Normal"/>
        <w:spacing w:lineRule="auto" w:line="31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/>
        <w:rPr>
          <w:rFonts w:ascii="Times New Roman" w:hAnsi="Times New Roman" w:eastAsia="Times New Roman" w:cs="Times New Roman"/>
          <w:sz w:val="28"/>
          <w:szCs w:val="28"/>
        </w:r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orient="landscape" w:w="16838" w:h="11906"/>
          <w:pgMar w:left="1440" w:right="1440" w:gutter="0" w:header="0" w:top="1098" w:footer="0" w:bottom="1440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</w:t>
      </w:r>
    </w:p>
    <w:p>
      <w:pPr>
        <w:pStyle w:val="Normal"/>
        <w:spacing w:lineRule="auto" w:line="312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</w:t>
      </w:r>
      <w:bookmarkStart w:id="1" w:name="page11"/>
      <w:bookmarkEnd w:id="1"/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PHỤ LỤC II</w:t>
      </w:r>
    </w:p>
    <w:p>
      <w:pPr>
        <w:pStyle w:val="Normal"/>
        <w:spacing w:lineRule="atLeast" w: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KHUNG KẾ HOẠCH TỔ CHỨC CÁC HOẠT ĐỘNG GIÁO DỤC CỦA TỔ CHUYÊN MÔN</w:t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( Kèm theo công văn số 5512/BGDĐT-GDTrH ngày 18 tháng 12 năm 2020 của Bộ GDDT)</w:t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TRƯỜNG …..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CỘNG HÒA XÃ HỘI CHỦ NGHĨA VIỆT NAM</w:t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</w:rPr>
        <w:t>TỔ …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8"/>
          <w:szCs w:val="28"/>
          <w:u w:val="single"/>
        </w:rPr>
        <w:t>Độc lập – Tự do – Hạnh phúc</w:t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KẾ HOẠCH TỔ CHỨC CÁC HOẠT ĐỘNG GIÁO DỤC CỦA TỔ CHUYÊN MÔN </w:t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Năm học 2021-2022</w:t>
      </w:r>
    </w:p>
    <w:p>
      <w:pPr>
        <w:pStyle w:val="Normal"/>
        <w:spacing w:lineRule="atLeast" w:line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0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1. Khối lớp 6; Số học sinh ….;Môn : Giáo dục công dân</w:t>
      </w:r>
    </w:p>
    <w:p>
      <w:pPr>
        <w:pStyle w:val="Normal"/>
        <w:spacing w:lineRule="atLeast" w:line="0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tbl>
      <w:tblPr>
        <w:tblW w:w="14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8"/>
        <w:gridCol w:w="2100"/>
        <w:gridCol w:w="2520"/>
        <w:gridCol w:w="872"/>
        <w:gridCol w:w="1575"/>
        <w:gridCol w:w="1575"/>
        <w:gridCol w:w="1438"/>
        <w:gridCol w:w="1712"/>
        <w:gridCol w:w="1576"/>
      </w:tblGrid>
      <w:tr>
        <w:trPr/>
        <w:tc>
          <w:tcPr>
            <w:tcW w:w="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Chủ đề 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yêu cầu cần đạt</w:t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Số tiết 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Thời điểm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Địa điểm </w:t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Phối hợp</w:t>
            </w:r>
          </w:p>
        </w:tc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Điều kiện thực hiện</w:t>
            </w:r>
          </w:p>
        </w:tc>
      </w:tr>
      <w:tr>
        <w:trPr/>
        <w:tc>
          <w:tcPr>
            <w:tcW w:w="8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Bài 7: Ứng phó với tình huống nguy hiểm.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Nhận biết được các tình huống nguy hiểm và hậu quả của các tình huống nguy hiểm đối với trẻ em.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Nêu được cách ứng phó với một số tình huống nguy hiểm.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pt-BR"/>
              </w:rPr>
              <w:t>- Thực hành được cách ứng phó trước một số tình huống nguy hiểm để đảm bảo an toàn.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val="pt-BR"/>
              </w:rPr>
            </w:r>
          </w:p>
        </w:tc>
        <w:tc>
          <w:tcPr>
            <w:tcW w:w="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Tuần 20 , cuối Tháng 1 năm 2022</w:t>
            </w:r>
          </w:p>
        </w:tc>
        <w:tc>
          <w:tcPr>
            <w:tcW w:w="1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Tại sân thể dục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 xml:space="preserve">- Lớp học 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 xml:space="preserve">Giáo viên bộ môn </w:t>
            </w:r>
          </w:p>
        </w:tc>
        <w:tc>
          <w:tcPr>
            <w:tcW w:w="17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 xml:space="preserve">- Giáo viên thể dục 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>- Tổng phụ trách đội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  <w:t xml:space="preserve">- Phòng thiết bị </w:t>
            </w:r>
          </w:p>
        </w:tc>
        <w:tc>
          <w:tcPr>
            <w:tcW w:w="1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0"/>
              <w:ind w:end="-81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pt-BR"/>
              </w:rPr>
              <w:t>- Đầy đủ dụng cụ và không gian phù hợp.</w:t>
            </w:r>
          </w:p>
          <w:p>
            <w:pPr>
              <w:pStyle w:val="Normal"/>
              <w:spacing w:lineRule="atLeast" w:line="0"/>
              <w:ind w:end="-81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pt-BR"/>
              </w:rPr>
              <w:t>- Bộ tranh hướng dẫn các bước phòng tránh và ứng phó với tình huống nguy hiểm.</w:t>
            </w:r>
          </w:p>
          <w:p>
            <w:pPr>
              <w:pStyle w:val="Normal"/>
              <w:spacing w:lineRule="atLeast" w:line="0"/>
              <w:ind w:end="-81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pt-BR"/>
              </w:rPr>
              <w:t>- Bộ dụng cụ cho học sinh thực hành ứng phó với các tình huống nguy hiểm</w:t>
            </w:r>
          </w:p>
          <w:p>
            <w:pPr>
              <w:pStyle w:val="Normal"/>
              <w:spacing w:lineRule="atLeast" w:line="0"/>
              <w:ind w:end="-8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pt-BR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 xml:space="preserve">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 xml:space="preserve">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 xml:space="preserve">TỔ TRƯỞNG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sz w:val="28"/>
          <w:szCs w:val="28"/>
          <w:lang w:val="pt-BR"/>
        </w:rPr>
        <w:t>, ngày ....tháng 8 năm 2021</w:t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>HIỆU TRƯỞNG</w:t>
      </w:r>
    </w:p>
    <w:p>
      <w:pPr>
        <w:pStyle w:val="Normal"/>
        <w:rPr>
          <w:rFonts w:ascii="Times New Roman" w:hAnsi="Times New Roman" w:eastAsia="Times New Roman" w:cs="Times New Roman"/>
          <w:b/>
          <w:i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  <w:lang w:val="pt-BR"/>
        </w:rPr>
      </w:r>
    </w:p>
    <w:p>
      <w:pPr>
        <w:pStyle w:val="Normal"/>
        <w:rPr>
          <w:rFonts w:ascii="Times New Roman" w:hAnsi="Times New Roman" w:eastAsia="Times New Roman" w:cs="Times New Roman"/>
          <w:i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val="pt-BR"/>
        </w:rPr>
      </w:r>
    </w:p>
    <w:p>
      <w:pPr>
        <w:pStyle w:val="Normal"/>
        <w:spacing w:lineRule="auto" w:line="312"/>
        <w:ind w:start="567" w:end="0"/>
        <w:jc w:val="both"/>
        <w:rPr>
          <w:rFonts w:ascii="Times New Roman" w:hAnsi="Times New Roman" w:eastAsia="Times New Roman" w:cs="Times New Roman"/>
          <w:i/>
          <w:sz w:val="28"/>
          <w:szCs w:val="28"/>
          <w:lang w:val="vi-VN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val="vi-VN"/>
        </w:rPr>
      </w:r>
    </w:p>
    <w:p>
      <w:pPr>
        <w:pStyle w:val="Normal"/>
        <w:spacing w:lineRule="auto" w:line="312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cs="Times New Roman" w:ascii="Times New Roman" w:hAnsi="Times New Roman"/>
          <w:sz w:val="28"/>
          <w:szCs w:val="28"/>
          <w:lang w:val="vi-VN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8"/>
          <w:szCs w:val="28"/>
          <w:lang w:val="pt-BR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709" w:top="1701" w:footer="709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76" w:before="0" w:after="200"/>
      <w:jc w:val="center"/>
      <w:rPr/>
    </w:pP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 xml:space="preserve">                                                                                                    </w:t>
    </w: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/>
    </w:r>
    <w:r>
      <w:rPr>
        <w:rFonts w:eastAsia="Arial" w:cs="Times New Roman" w:ascii="Times New Roman" w:hAnsi="Times New Roman"/>
        <w:b/>
        <w:color w:val="FF0000"/>
        <w:sz w:val="24"/>
        <w:szCs w:val="24"/>
        <w:lang w:val="nl-NL" w:eastAsia="vi-VN"/>
      </w:rPr>
      <w:t xml:space="preserve"/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                   </w:t>
    </w:r>
    <w:r>
      <w:rPr>
        <w:rFonts w:eastAsia="Arial" w:cs="Times New Roman" w:ascii="Times New Roman" w:hAnsi="Times New Roman"/>
        <w:b/>
        <w:sz w:val="24"/>
        <w:szCs w:val="24"/>
        <w:lang w:eastAsia="vi-VN"/>
      </w:rPr>
      <w:t xml:space="preserve">                                    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</w:t>
    </w:r>
    <w:r>
      <w:rPr>
        <w:rFonts w:eastAsia="Arial" w:cs="Times New Roman" w:ascii="Times New Roman" w:hAnsi="Times New Roman"/>
        <w:b/>
        <w:color w:val="FF0000"/>
        <w:sz w:val="24"/>
        <w:szCs w:val="24"/>
        <w:lang w:val="vi-VN" w:eastAsia="vi-VN"/>
      </w:rPr>
      <w:t>Trang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 xml:space="preserve"> 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begin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instrText xml:space="preserve"> PAGE </w:instrTex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>5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76" w:before="0" w:after="200"/>
      <w:jc w:val="center"/>
      <w:rPr/>
    </w:pP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 xml:space="preserve">                                                                                                    </w:t>
    </w: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/>
    </w:r>
    <w:r>
      <w:rPr>
        <w:rFonts w:eastAsia="Arial" w:cs="Times New Roman" w:ascii="Times New Roman" w:hAnsi="Times New Roman"/>
        <w:b/>
        <w:color w:val="FF0000"/>
        <w:sz w:val="24"/>
        <w:szCs w:val="24"/>
        <w:lang w:val="nl-NL" w:eastAsia="vi-VN"/>
      </w:rPr>
      <w:t xml:space="preserve"/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                   </w:t>
    </w:r>
    <w:r>
      <w:rPr>
        <w:rFonts w:eastAsia="Arial" w:cs="Times New Roman" w:ascii="Times New Roman" w:hAnsi="Times New Roman"/>
        <w:b/>
        <w:sz w:val="24"/>
        <w:szCs w:val="24"/>
        <w:lang w:eastAsia="vi-VN"/>
      </w:rPr>
      <w:t xml:space="preserve">                                    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</w:t>
    </w:r>
    <w:r>
      <w:rPr>
        <w:rFonts w:eastAsia="Arial" w:cs="Times New Roman" w:ascii="Times New Roman" w:hAnsi="Times New Roman"/>
        <w:b/>
        <w:color w:val="FF0000"/>
        <w:sz w:val="24"/>
        <w:szCs w:val="24"/>
        <w:lang w:val="vi-VN" w:eastAsia="vi-VN"/>
      </w:rPr>
      <w:t>Trang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 xml:space="preserve"> 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begin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instrText xml:space="preserve"> PAGE </w:instrTex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>16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76" w:before="0" w:after="200"/>
      <w:jc w:val="center"/>
      <w:rPr/>
    </w:pP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 xml:space="preserve">                                                                                                    </w:t>
    </w:r>
    <w:r>
      <w:rPr>
        <w:rFonts w:eastAsia="Arial" w:cs="Times New Roman" w:ascii="Times New Roman" w:hAnsi="Times New Roman"/>
        <w:b/>
        <w:color w:val="00B0F0"/>
        <w:sz w:val="24"/>
        <w:szCs w:val="24"/>
        <w:lang w:val="nl-NL" w:eastAsia="vi-VN"/>
      </w:rPr>
      <w:t/>
    </w:r>
    <w:r>
      <w:rPr>
        <w:rFonts w:eastAsia="Arial" w:cs="Times New Roman" w:ascii="Times New Roman" w:hAnsi="Times New Roman"/>
        <w:b/>
        <w:color w:val="FF0000"/>
        <w:sz w:val="24"/>
        <w:szCs w:val="24"/>
        <w:lang w:val="nl-NL" w:eastAsia="vi-VN"/>
      </w:rPr>
      <w:t xml:space="preserve"/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                   </w:t>
    </w:r>
    <w:r>
      <w:rPr>
        <w:rFonts w:eastAsia="Arial" w:cs="Times New Roman" w:ascii="Times New Roman" w:hAnsi="Times New Roman"/>
        <w:b/>
        <w:sz w:val="24"/>
        <w:szCs w:val="24"/>
        <w:lang w:eastAsia="vi-VN"/>
      </w:rPr>
      <w:t xml:space="preserve">                                         </w:t>
    </w:r>
    <w:r>
      <w:rPr>
        <w:rFonts w:eastAsia="Arial" w:cs="Times New Roman" w:ascii="Times New Roman" w:hAnsi="Times New Roman"/>
        <w:b/>
        <w:sz w:val="24"/>
        <w:szCs w:val="24"/>
        <w:lang w:val="vi-VN" w:eastAsia="vi-VN"/>
      </w:rPr>
      <w:t xml:space="preserve">           </w:t>
    </w:r>
    <w:r>
      <w:rPr>
        <w:rFonts w:eastAsia="Arial" w:cs="Times New Roman" w:ascii="Times New Roman" w:hAnsi="Times New Roman"/>
        <w:b/>
        <w:color w:val="FF0000"/>
        <w:sz w:val="24"/>
        <w:szCs w:val="24"/>
        <w:lang w:val="vi-VN" w:eastAsia="vi-VN"/>
      </w:rPr>
      <w:t>Trang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 xml:space="preserve"> 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begin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instrText xml:space="preserve"> PAGE </w:instrTex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t>18</w:t>
    </w:r>
    <w:r>
      <w:rPr>
        <w:rFonts w:eastAsia="Arial" w:cs="Times New Roman" w:ascii="Times New Roman" w:hAnsi="Times New Roman"/>
        <w:b/>
        <w:color w:val="0070C0"/>
        <w:sz w:val="24"/>
        <w:szCs w:val="24"/>
        <w:lang w:val="vi-VN" w:eastAsia="vi-VN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Calibri" w:hAnsi="Calibri" w:eastAsia="Calibri" w:cs="Arial"/>
    </w:rPr>
  </w:style>
  <w:style w:type="character" w:styleId="FooterChar">
    <w:name w:val="Footer Char"/>
    <w:qFormat/>
    <w:rPr>
      <w:rFonts w:ascii="Calibri" w:hAnsi="Calibri" w:eastAsia="Calibri" w:cs="Aria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8"/>
      <w:szCs w:val="22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MS Mincho;ＭＳ 明朝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4.xml" Type="http://schemas.openxmlformats.org/officeDocument/2006/relationships/footer"/><Relationship Id="rId11" Target="footer5.xml" Type="http://schemas.openxmlformats.org/officeDocument/2006/relationships/footer"/><Relationship Id="rId12" Target="fontTable.xml" Type="http://schemas.openxmlformats.org/officeDocument/2006/relationships/fontTable"/><Relationship Id="rId13" Target="settings.xml" Type="http://schemas.openxmlformats.org/officeDocument/2006/relationships/settings"/><Relationship Id="rId14" Target="theme/theme1.xml" Type="http://schemas.openxmlformats.org/officeDocument/2006/relationships/theme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header4.xml" Type="http://schemas.openxmlformats.org/officeDocument/2006/relationships/header"/><Relationship Id="rId9" Target="header5.xml" Type="http://schemas.openxmlformats.org/officeDocument/2006/relationships/header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2021-08-11T15:15:00Z</dcterms:created>
  <dc:creator>admin</dc:creator>
  <dc:description>Kế hoạch dạy học môn Công dân lớp 6 sách Kết nối tri thức được soạn dưới dạng file word và PDF gồm 18 trang. Các bạn xem và tải về ở dưới.</dc:description>
  <dc:language>en-US</dc:language>
  <dcterms:modified xsi:type="dcterms:W3CDTF">2021-08-11T15:18:00Z</dcterms:modified>
  <cp:revision>1</cp:revision>
  <dc:title>Kế Hoạch Dạy Học Công Dân 6 Kết Nối Tri Thức-Bộ 2</dc:title>
</cp:coreProperties>
</file>